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lang w:val="en-US" w:eastAsia="zh-CN"/>
        </w:rPr>
        <w:t>2022</w:t>
      </w:r>
      <w:r>
        <w:rPr>
          <w:rFonts w:hint="eastAsia" w:ascii="方正小标宋简体" w:hAnsi="方正小标宋简体" w:eastAsia="方正小标宋简体" w:cs="方正小标宋简体"/>
          <w:b w:val="0"/>
          <w:bCs/>
          <w:color w:val="auto"/>
          <w:w w:val="95"/>
          <w:sz w:val="44"/>
          <w:szCs w:val="44"/>
          <w:highlight w:val="none"/>
        </w:rPr>
        <w:t>年度</w:t>
      </w:r>
      <w:r>
        <w:rPr>
          <w:rFonts w:hint="eastAsia" w:ascii="方正小标宋简体" w:hAnsi="方正小标宋简体" w:eastAsia="方正小标宋简体" w:cs="方正小标宋简体"/>
          <w:b w:val="0"/>
          <w:bCs/>
          <w:color w:val="auto"/>
          <w:w w:val="95"/>
          <w:sz w:val="44"/>
          <w:szCs w:val="44"/>
          <w:highlight w:val="none"/>
          <w:lang w:eastAsia="zh-CN"/>
        </w:rPr>
        <w:t>福建省高校</w:t>
      </w:r>
      <w:r>
        <w:rPr>
          <w:rFonts w:hint="eastAsia" w:ascii="方正小标宋简体" w:hAnsi="方正小标宋简体" w:eastAsia="方正小标宋简体" w:cs="方正小标宋简体"/>
          <w:b w:val="0"/>
          <w:bCs/>
          <w:color w:val="auto"/>
          <w:w w:val="95"/>
          <w:sz w:val="44"/>
          <w:szCs w:val="44"/>
          <w:highlight w:val="none"/>
        </w:rPr>
        <w:t>以马克思主义</w:t>
      </w:r>
      <w:r>
        <w:rPr>
          <w:rFonts w:hint="eastAsia" w:ascii="方正小标宋简体" w:hAnsi="方正小标宋简体" w:eastAsia="方正小标宋简体" w:cs="方正小标宋简体"/>
          <w:b w:val="0"/>
          <w:bCs/>
          <w:color w:val="auto"/>
          <w:sz w:val="44"/>
          <w:szCs w:val="44"/>
          <w:highlight w:val="none"/>
        </w:rPr>
        <w:t>为指导的</w:t>
      </w:r>
    </w:p>
    <w:p>
      <w:pPr>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哲学社会科学学科基础理论研究项目</w:t>
      </w:r>
    </w:p>
    <w:p>
      <w:pPr>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申报公告</w:t>
      </w:r>
    </w:p>
    <w:p>
      <w:pPr>
        <w:keepNext w:val="0"/>
        <w:keepLines w:val="0"/>
        <w:pageBreakBefore w:val="0"/>
        <w:widowControl w:val="0"/>
        <w:kinsoku/>
        <w:wordWrap/>
        <w:overflowPunct/>
        <w:topLinePunct w:val="0"/>
        <w:autoSpaceDE/>
        <w:autoSpaceDN/>
        <w:bidi w:val="0"/>
        <w:snapToGrid w:val="0"/>
        <w:spacing w:line="600" w:lineRule="exact"/>
        <w:ind w:left="0" w:leftChars="0"/>
        <w:jc w:val="left"/>
        <w:textAlignment w:val="auto"/>
        <w:outlineLvl w:val="9"/>
        <w:rPr>
          <w:rFonts w:hint="eastAsia" w:ascii="仿宋_GB2312" w:hAnsi="仿宋_GB2312" w:eastAsia="仿宋_GB2312" w:cs="仿宋_GB2312"/>
          <w:bCs/>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80" w:lineRule="exact"/>
        <w:ind w:left="0" w:leftChars="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各普通高等学校：</w:t>
      </w:r>
    </w:p>
    <w:p>
      <w:pPr>
        <w:keepNext w:val="0"/>
        <w:keepLines w:val="0"/>
        <w:pageBreakBefore w:val="0"/>
        <w:widowControl w:val="0"/>
        <w:kinsoku/>
        <w:wordWrap/>
        <w:overflowPunct/>
        <w:topLinePunct w:val="0"/>
        <w:autoSpaceDE/>
        <w:autoSpaceDN/>
        <w:bidi w:val="0"/>
        <w:snapToGrid w:val="0"/>
        <w:spacing w:line="580" w:lineRule="exact"/>
        <w:ind w:left="0" w:leftChars="0" w:firstLine="608"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根据《中共福建省委宣传部 中共福建省委教育工委 福建省社会科学界联合会关于推进高校以马克思主义为指导的哲学社会科学学科基础理论建设的意见》（闽委教思〔2017〕11号），</w:t>
      </w:r>
      <w:r>
        <w:rPr>
          <w:rFonts w:hint="eastAsia" w:ascii="仿宋_GB2312" w:hAnsi="仿宋_GB2312" w:eastAsia="仿宋_GB2312" w:cs="仿宋_GB2312"/>
          <w:bCs/>
          <w:color w:val="auto"/>
          <w:sz w:val="32"/>
          <w:szCs w:val="32"/>
          <w:highlight w:val="none"/>
          <w:lang w:val="en-US" w:eastAsia="zh-CN"/>
        </w:rPr>
        <w:t>2022</w:t>
      </w:r>
      <w:r>
        <w:rPr>
          <w:rFonts w:hint="eastAsia" w:ascii="仿宋_GB2312" w:hAnsi="仿宋_GB2312" w:eastAsia="仿宋_GB2312" w:cs="仿宋_GB2312"/>
          <w:bCs/>
          <w:color w:val="auto"/>
          <w:sz w:val="32"/>
          <w:szCs w:val="32"/>
          <w:highlight w:val="none"/>
        </w:rPr>
        <w:t>年度福建省高校以马克思主义为指导的哲学社会科学学科基础理论研究课题列入省社科</w:t>
      </w:r>
      <w:r>
        <w:rPr>
          <w:rFonts w:hint="eastAsia" w:ascii="仿宋_GB2312" w:hAnsi="仿宋_GB2312" w:eastAsia="仿宋_GB2312" w:cs="仿宋_GB2312"/>
          <w:bCs/>
          <w:color w:val="auto"/>
          <w:sz w:val="32"/>
          <w:szCs w:val="32"/>
          <w:highlight w:val="none"/>
          <w:lang w:eastAsia="zh-CN"/>
        </w:rPr>
        <w:t>基金</w:t>
      </w:r>
      <w:r>
        <w:rPr>
          <w:rFonts w:hint="eastAsia" w:ascii="仿宋_GB2312" w:hAnsi="仿宋_GB2312" w:eastAsia="仿宋_GB2312" w:cs="仿宋_GB2312"/>
          <w:bCs/>
          <w:color w:val="auto"/>
          <w:sz w:val="32"/>
          <w:szCs w:val="32"/>
          <w:highlight w:val="none"/>
        </w:rPr>
        <w:t>项目，现将项目申报工作有关事项公告如下：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以习近平新时代中国特色社会主义思想为指导，全面贯彻落实党的十九大和十九届历次全会精神以及全国两会精神，深入贯彻落实习近平总书记在福建考察时的重要讲话精神，贯彻落实《中共中央关于加快构建中国特色哲学社会科学的意见》</w:t>
      </w:r>
      <w:r>
        <w:rPr>
          <w:rFonts w:hint="eastAsia" w:ascii="仿宋_GB2312" w:eastAsia="仿宋_GB2312"/>
          <w:bCs/>
          <w:color w:val="auto"/>
          <w:sz w:val="32"/>
          <w:szCs w:val="32"/>
          <w:lang w:eastAsia="zh-CN"/>
        </w:rPr>
        <w:t>以及《福建省“十四五”哲学社会科学研究规划》，</w:t>
      </w:r>
      <w:r>
        <w:rPr>
          <w:rFonts w:hint="eastAsia" w:ascii="仿宋_GB2312" w:hAnsi="仿宋_GB2312" w:eastAsia="仿宋_GB2312" w:cs="仿宋_GB2312"/>
          <w:color w:val="auto"/>
          <w:sz w:val="32"/>
          <w:szCs w:val="32"/>
          <w:highlight w:val="none"/>
        </w:rPr>
        <w:t>贯彻落实省第十一次党代会精神，坚持正确的政治方向、价值取向和学术导向，坚持以重大理论和现实问题为主攻方向，坚持基础研究和应用研究并重，推动中国特色哲学社会科学学科体系、学术体系、话语体系建设，</w:t>
      </w:r>
      <w:r>
        <w:rPr>
          <w:rFonts w:hint="eastAsia" w:ascii="仿宋_GB2312" w:hAnsi="仿宋_GB2312" w:eastAsia="仿宋_GB2312" w:cs="仿宋_GB2312"/>
          <w:color w:val="auto"/>
          <w:sz w:val="32"/>
          <w:szCs w:val="32"/>
          <w:highlight w:val="none"/>
          <w:lang w:eastAsia="zh-CN"/>
        </w:rPr>
        <w:t>推动我省高校哲学社会科学高质量发展</w:t>
      </w:r>
      <w:r>
        <w:rPr>
          <w:rFonts w:hint="eastAsia" w:ascii="仿宋_GB2312" w:hAnsi="仿宋_GB2312" w:eastAsia="仿宋_GB2312" w:cs="仿宋_GB2312"/>
          <w:color w:val="auto"/>
          <w:sz w:val="32"/>
          <w:szCs w:val="32"/>
          <w:highlight w:val="none"/>
        </w:rPr>
        <w:t>，为奋力谱写全面建设社会主义现代化国家福建篇章提供理论支撑和智力支持。</w:t>
      </w:r>
    </w:p>
    <w:p>
      <w:pPr>
        <w:keepNext w:val="0"/>
        <w:keepLines w:val="0"/>
        <w:pageBreakBefore w:val="0"/>
        <w:widowControl w:val="0"/>
        <w:kinsoku/>
        <w:wordWrap/>
        <w:overflowPunct/>
        <w:topLinePunct w:val="0"/>
        <w:autoSpaceDE/>
        <w:autoSpaceDN/>
        <w:bidi w:val="0"/>
        <w:snapToGrid w:val="0"/>
        <w:spacing w:line="580" w:lineRule="exact"/>
        <w:ind w:left="0" w:leftChars="0" w:firstLine="6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二、学科要求</w:t>
      </w:r>
    </w:p>
    <w:p>
      <w:pPr>
        <w:keepNext w:val="0"/>
        <w:keepLines w:val="0"/>
        <w:pageBreakBefore w:val="0"/>
        <w:widowControl w:val="0"/>
        <w:kinsoku/>
        <w:wordWrap/>
        <w:overflowPunct/>
        <w:topLinePunct w:val="0"/>
        <w:autoSpaceDE/>
        <w:autoSpaceDN/>
        <w:bidi w:val="0"/>
        <w:snapToGrid w:val="0"/>
        <w:spacing w:line="580" w:lineRule="exact"/>
        <w:ind w:left="0" w:leftChars="0" w:firstLine="6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马克思主义理论以及哲学、历史学、经济学、政治学、法学、社会学、民族学、新闻学、人口学、宗教学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snapToGrid w:val="0"/>
          <w:color w:val="auto"/>
          <w:kern w:val="0"/>
          <w:sz w:val="32"/>
          <w:szCs w:val="32"/>
          <w:lang w:val="en-US" w:eastAsia="zh-CN"/>
        </w:rPr>
        <w:t>心理学</w:t>
      </w:r>
      <w:r>
        <w:rPr>
          <w:rFonts w:hint="eastAsia" w:ascii="仿宋_GB2312" w:hAnsi="仿宋_GB2312" w:eastAsia="仿宋_GB2312" w:cs="仿宋_GB2312"/>
          <w:bCs/>
          <w:color w:val="auto"/>
          <w:sz w:val="32"/>
          <w:szCs w:val="32"/>
          <w:highlight w:val="none"/>
        </w:rPr>
        <w:t>等学科。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三、选题要求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选题应</w:t>
      </w:r>
      <w:r>
        <w:rPr>
          <w:rFonts w:hint="eastAsia" w:ascii="仿宋_GB2312" w:hAnsi="仿宋_GB2312" w:eastAsia="仿宋_GB2312" w:cs="仿宋_GB2312"/>
          <w:bCs/>
          <w:color w:val="auto"/>
          <w:sz w:val="32"/>
          <w:szCs w:val="32"/>
          <w:highlight w:val="none"/>
        </w:rPr>
        <w:t>具有一定的理论高度和明确的研究目标。</w:t>
      </w:r>
      <w:r>
        <w:rPr>
          <w:rFonts w:hint="eastAsia" w:ascii="仿宋_GB2312" w:hAnsi="仿宋_GB2312" w:eastAsia="仿宋_GB2312" w:cs="仿宋_GB2312"/>
          <w:snapToGrid w:val="0"/>
          <w:color w:val="auto"/>
          <w:kern w:val="0"/>
          <w:sz w:val="32"/>
          <w:szCs w:val="32"/>
        </w:rPr>
        <w:t>重大项目申报应</w:t>
      </w:r>
      <w:r>
        <w:rPr>
          <w:rFonts w:hint="eastAsia" w:ascii="仿宋_GB2312" w:hAnsi="仿宋_GB2312" w:eastAsia="仿宋_GB2312" w:cs="仿宋_GB2312"/>
          <w:snapToGrid w:val="0"/>
          <w:color w:val="auto"/>
          <w:kern w:val="0"/>
          <w:sz w:val="32"/>
          <w:szCs w:val="32"/>
          <w:lang w:val="en-US" w:eastAsia="zh-CN"/>
        </w:rPr>
        <w:t>围绕</w:t>
      </w:r>
      <w:r>
        <w:rPr>
          <w:rFonts w:hint="eastAsia" w:ascii="仿宋_GB2312" w:hAnsi="仿宋_GB2312" w:eastAsia="仿宋_GB2312" w:cs="仿宋_GB2312"/>
          <w:snapToGrid w:val="0"/>
          <w:color w:val="auto"/>
          <w:kern w:val="0"/>
          <w:sz w:val="32"/>
          <w:szCs w:val="32"/>
        </w:rPr>
        <w:t>伟大建党精神</w:t>
      </w:r>
      <w:r>
        <w:rPr>
          <w:rFonts w:hint="eastAsia" w:ascii="仿宋_GB2312" w:hAnsi="仿宋_GB2312" w:eastAsia="仿宋_GB2312" w:cs="仿宋_GB2312"/>
          <w:snapToGrid w:val="0"/>
          <w:color w:val="auto"/>
          <w:kern w:val="0"/>
          <w:sz w:val="32"/>
          <w:szCs w:val="32"/>
          <w:lang w:val="en-US" w:eastAsia="zh-CN"/>
        </w:rPr>
        <w:t>自行</w:t>
      </w:r>
      <w:r>
        <w:rPr>
          <w:rFonts w:hint="eastAsia" w:ascii="仿宋_GB2312" w:hAnsi="仿宋_GB2312" w:eastAsia="仿宋_GB2312" w:cs="仿宋_GB2312"/>
          <w:snapToGrid w:val="0"/>
          <w:color w:val="auto"/>
          <w:kern w:val="0"/>
          <w:sz w:val="32"/>
          <w:szCs w:val="32"/>
        </w:rPr>
        <w:t>拟定，</w:t>
      </w:r>
      <w:r>
        <w:rPr>
          <w:rFonts w:hint="eastAsia" w:ascii="仿宋_GB2312" w:hAnsi="仿宋_GB2312" w:eastAsia="仿宋_GB2312" w:cs="仿宋_GB2312"/>
          <w:snapToGrid w:val="0"/>
          <w:color w:val="auto"/>
          <w:kern w:val="0"/>
          <w:sz w:val="32"/>
          <w:szCs w:val="32"/>
          <w:lang w:val="en-US" w:eastAsia="zh-CN"/>
        </w:rPr>
        <w:t>也可结合</w:t>
      </w:r>
      <w:r>
        <w:rPr>
          <w:rFonts w:hint="eastAsia" w:ascii="仿宋_GB2312" w:hAnsi="仿宋_GB2312" w:eastAsia="仿宋_GB2312" w:cs="仿宋_GB2312"/>
          <w:snapToGrid w:val="0"/>
          <w:color w:val="auto"/>
          <w:kern w:val="0"/>
          <w:sz w:val="32"/>
          <w:szCs w:val="32"/>
        </w:rPr>
        <w:t>课题指南</w:t>
      </w:r>
      <w:r>
        <w:rPr>
          <w:rFonts w:hint="eastAsia" w:ascii="仿宋_GB2312" w:hAnsi="仿宋_GB2312" w:eastAsia="仿宋_GB2312" w:cs="仿宋_GB2312"/>
          <w:snapToGrid w:val="0"/>
          <w:color w:val="auto"/>
          <w:kern w:val="0"/>
          <w:sz w:val="32"/>
          <w:szCs w:val="32"/>
          <w:lang w:val="en-US" w:eastAsia="zh-CN"/>
        </w:rPr>
        <w:t>拟定；</w:t>
      </w:r>
      <w:r>
        <w:rPr>
          <w:rFonts w:hint="eastAsia" w:ascii="仿宋_GB2312" w:hAnsi="仿宋_GB2312" w:eastAsia="仿宋_GB2312" w:cs="仿宋_GB2312"/>
          <w:snapToGrid w:val="0"/>
          <w:color w:val="auto"/>
          <w:kern w:val="0"/>
          <w:sz w:val="32"/>
          <w:szCs w:val="32"/>
        </w:rPr>
        <w:t>重点项目可围绕重点选题课题指南拟定，也可结合个人研究情况拟定。</w:t>
      </w:r>
      <w:r>
        <w:rPr>
          <w:rFonts w:hint="eastAsia" w:ascii="仿宋_GB2312" w:hAnsi="仿宋_GB2312" w:eastAsia="仿宋_GB2312" w:cs="仿宋_GB2312"/>
          <w:color w:val="auto"/>
          <w:sz w:val="32"/>
          <w:szCs w:val="32"/>
          <w:highlight w:val="none"/>
        </w:rPr>
        <w:t>研究类型为基础研究、应用研究。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四、资助额度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重大项目为10万元，重点项目为7万元。申请人应根据项目申请类别提出资助经费，并按照《福建省社会科学基金项目经费管理办法》（闽财</w:t>
      </w:r>
      <w:r>
        <w:rPr>
          <w:rFonts w:hint="eastAsia" w:ascii="仿宋_GB2312" w:hAnsi="仿宋_GB2312" w:eastAsia="仿宋_GB2312" w:cs="仿宋_GB2312"/>
          <w:color w:val="auto"/>
          <w:sz w:val="32"/>
          <w:szCs w:val="32"/>
          <w:highlight w:val="none"/>
          <w:lang w:eastAsia="zh-CN"/>
        </w:rPr>
        <w:t>政研</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号）编制合理的经费预算。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五、申报条件</w:t>
      </w:r>
    </w:p>
    <w:p>
      <w:pPr>
        <w:keepNext w:val="0"/>
        <w:keepLines w:val="0"/>
        <w:pageBreakBefore w:val="0"/>
        <w:widowControl w:val="0"/>
        <w:kinsoku/>
        <w:wordWrap/>
        <w:overflowPunct/>
        <w:topLinePunct w:val="0"/>
        <w:autoSpaceDE/>
        <w:autoSpaceDN/>
        <w:bidi w:val="0"/>
        <w:spacing w:line="580" w:lineRule="exact"/>
        <w:ind w:left="0" w:leftChars="0" w:firstLine="608"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eastAsia="zh-CN"/>
        </w:rPr>
        <w:t>（一）</w:t>
      </w:r>
      <w:r>
        <w:rPr>
          <w:rFonts w:hint="eastAsia" w:ascii="仿宋_GB2312" w:hAnsi="仿宋" w:eastAsia="仿宋_GB2312" w:cs="仿宋"/>
          <w:color w:val="auto"/>
          <w:sz w:val="32"/>
          <w:szCs w:val="32"/>
          <w:highlight w:val="none"/>
        </w:rPr>
        <w:t>申报单位仅限各普通高等院校，其他单位不得申报。</w:t>
      </w:r>
    </w:p>
    <w:p>
      <w:pPr>
        <w:keepNext w:val="0"/>
        <w:keepLines w:val="0"/>
        <w:pageBreakBefore w:val="0"/>
        <w:widowControl w:val="0"/>
        <w:kinsoku/>
        <w:wordWrap/>
        <w:overflowPunct/>
        <w:topLinePunct w:val="0"/>
        <w:autoSpaceDE/>
        <w:autoSpaceDN/>
        <w:bidi w:val="0"/>
        <w:spacing w:line="580" w:lineRule="exact"/>
        <w:ind w:left="0" w:leftChars="0" w:firstLine="608" w:firstLineChars="200"/>
        <w:jc w:val="both"/>
        <w:textAlignment w:val="auto"/>
        <w:outlineLvl w:val="9"/>
        <w:rPr>
          <w:rFonts w:ascii="仿宋_GB2312" w:hAnsi="仿宋_GB2312" w:eastAsia="仿宋_GB2312" w:cs="仿宋_GB2312"/>
          <w:bCs/>
          <w:color w:val="auto"/>
          <w:sz w:val="32"/>
          <w:szCs w:val="32"/>
          <w:highlight w:val="none"/>
        </w:rPr>
      </w:pP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遵守中华人民共和国宪法和法律；具有独立开展研究和组织开展研究的能力，能够承担实质性研究工作并负责组织项目的实施；</w:t>
      </w:r>
      <w:r>
        <w:rPr>
          <w:rFonts w:hint="eastAsia" w:ascii="仿宋_GB2312" w:hAnsi="仿宋" w:eastAsia="仿宋_GB2312" w:cs="仿宋"/>
          <w:b w:val="0"/>
          <w:bCs w:val="0"/>
          <w:color w:val="auto"/>
          <w:sz w:val="32"/>
          <w:szCs w:val="32"/>
          <w:highlight w:val="none"/>
        </w:rPr>
        <w:t>重大项目</w:t>
      </w:r>
      <w:r>
        <w:rPr>
          <w:rFonts w:hint="eastAsia" w:ascii="仿宋_GB2312" w:hAnsi="仿宋" w:eastAsia="仿宋_GB2312" w:cs="仿宋"/>
          <w:b w:val="0"/>
          <w:bCs w:val="0"/>
          <w:color w:val="auto"/>
          <w:sz w:val="32"/>
          <w:szCs w:val="32"/>
          <w:highlight w:val="none"/>
          <w:lang w:eastAsia="zh-CN"/>
        </w:rPr>
        <w:t>负责</w:t>
      </w:r>
      <w:r>
        <w:rPr>
          <w:rFonts w:hint="eastAsia" w:ascii="仿宋_GB2312" w:hAnsi="仿宋" w:eastAsia="仿宋_GB2312" w:cs="仿宋"/>
          <w:b w:val="0"/>
          <w:bCs w:val="0"/>
          <w:color w:val="auto"/>
          <w:sz w:val="32"/>
          <w:szCs w:val="32"/>
          <w:highlight w:val="none"/>
        </w:rPr>
        <w:t>人须具有正高级专业技术职称（职务）；重点项目</w:t>
      </w:r>
      <w:r>
        <w:rPr>
          <w:rFonts w:hint="eastAsia" w:ascii="仿宋_GB2312" w:hAnsi="仿宋" w:eastAsia="仿宋_GB2312" w:cs="仿宋"/>
          <w:b w:val="0"/>
          <w:bCs w:val="0"/>
          <w:color w:val="auto"/>
          <w:sz w:val="32"/>
          <w:szCs w:val="32"/>
          <w:highlight w:val="none"/>
          <w:lang w:eastAsia="zh-CN"/>
        </w:rPr>
        <w:t>负责</w:t>
      </w:r>
      <w:r>
        <w:rPr>
          <w:rFonts w:hint="eastAsia" w:ascii="仿宋_GB2312" w:hAnsi="仿宋" w:eastAsia="仿宋_GB2312" w:cs="仿宋"/>
          <w:b w:val="0"/>
          <w:bCs w:val="0"/>
          <w:color w:val="auto"/>
          <w:sz w:val="32"/>
          <w:szCs w:val="32"/>
          <w:highlight w:val="none"/>
        </w:rPr>
        <w:t>人须具有副高级及以上专业技术职称（职务）或者具有博士学位。</w:t>
      </w:r>
      <w:r>
        <w:rPr>
          <w:rFonts w:hint="eastAsia" w:ascii="仿宋_GB2312" w:hAnsi="仿宋" w:eastAsia="仿宋_GB2312" w:cs="仿宋"/>
          <w:color w:val="auto"/>
          <w:sz w:val="32"/>
          <w:szCs w:val="32"/>
          <w:highlight w:val="none"/>
        </w:rPr>
        <w:t>项目负责人只能申报一个项目，且不能作为项目组成员参与其他项目的申请；项目组成员最多参与两个项目申请。</w:t>
      </w:r>
    </w:p>
    <w:p>
      <w:pPr>
        <w:keepNext w:val="0"/>
        <w:keepLines w:val="0"/>
        <w:pageBreakBefore w:val="0"/>
        <w:widowControl w:val="0"/>
        <w:kinsoku/>
        <w:wordWrap/>
        <w:overflowPunct/>
        <w:topLinePunct w:val="0"/>
        <w:autoSpaceDE/>
        <w:autoSpaceDN/>
        <w:bidi w:val="0"/>
        <w:snapToGrid w:val="0"/>
        <w:spacing w:line="580" w:lineRule="exact"/>
        <w:ind w:left="0" w:leftChars="0" w:firstLine="608"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w:t>
      </w:r>
      <w:r>
        <w:rPr>
          <w:rFonts w:hint="eastAsia" w:ascii="仿宋_GB2312" w:hAnsi="仿宋" w:eastAsia="仿宋_GB2312" w:cs="仿宋"/>
          <w:color w:val="auto"/>
          <w:sz w:val="32"/>
          <w:szCs w:val="32"/>
          <w:highlight w:val="none"/>
        </w:rPr>
        <w:t>本年度获得国家社科基金项目、教育部项目、</w:t>
      </w:r>
      <w:r>
        <w:rPr>
          <w:rFonts w:hint="eastAsia" w:ascii="仿宋_GB2312" w:eastAsia="仿宋_GB2312" w:cs="仿宋_GB2312"/>
          <w:color w:val="auto"/>
          <w:sz w:val="32"/>
          <w:szCs w:val="32"/>
          <w:highlight w:val="none"/>
        </w:rPr>
        <w:t>省习近平新时代中国特色社会主义思想研究中心项目</w:t>
      </w:r>
      <w:r>
        <w:rPr>
          <w:rFonts w:hint="eastAsia" w:ascii="仿宋_GB2312" w:hAnsi="仿宋" w:eastAsia="仿宋_GB2312" w:cs="仿宋"/>
          <w:color w:val="auto"/>
          <w:sz w:val="32"/>
          <w:szCs w:val="32"/>
          <w:highlight w:val="none"/>
        </w:rPr>
        <w:t>、省社科基金各类项目立项的；在研国家社科基金项目、</w:t>
      </w:r>
      <w:r>
        <w:rPr>
          <w:rFonts w:hint="eastAsia" w:ascii="仿宋_GB2312" w:hAnsi="仿宋" w:eastAsia="仿宋_GB2312" w:cs="仿宋"/>
          <w:color w:val="auto"/>
          <w:sz w:val="32"/>
          <w:szCs w:val="32"/>
          <w:highlight w:val="none"/>
          <w:lang w:eastAsia="zh-CN"/>
        </w:rPr>
        <w:t>教育部项目、</w:t>
      </w:r>
      <w:r>
        <w:rPr>
          <w:rFonts w:hint="eastAsia" w:ascii="仿宋_GB2312" w:eastAsia="仿宋_GB2312" w:cs="仿宋_GB2312"/>
          <w:color w:val="auto"/>
          <w:sz w:val="32"/>
          <w:szCs w:val="32"/>
          <w:highlight w:val="none"/>
        </w:rPr>
        <w:t>省习近平新时代中国特色社会主义思想研究中心项目</w:t>
      </w:r>
      <w:r>
        <w:rPr>
          <w:rFonts w:hint="eastAsia" w:ascii="仿宋_GB2312" w:hAnsi="仿宋" w:eastAsia="仿宋_GB2312" w:cs="仿宋"/>
          <w:color w:val="auto"/>
          <w:sz w:val="32"/>
          <w:szCs w:val="32"/>
          <w:highlight w:val="none"/>
        </w:rPr>
        <w:t>、省社科</w:t>
      </w:r>
      <w:r>
        <w:rPr>
          <w:rFonts w:hint="eastAsia" w:ascii="仿宋_GB2312" w:hAnsi="仿宋" w:eastAsia="仿宋_GB2312" w:cs="仿宋"/>
          <w:color w:val="auto"/>
          <w:sz w:val="32"/>
          <w:szCs w:val="32"/>
          <w:highlight w:val="none"/>
          <w:lang w:eastAsia="zh-CN"/>
        </w:rPr>
        <w:t>基金</w:t>
      </w:r>
      <w:r>
        <w:rPr>
          <w:rFonts w:hint="eastAsia" w:ascii="仿宋_GB2312" w:hAnsi="仿宋" w:eastAsia="仿宋_GB2312" w:cs="仿宋"/>
          <w:color w:val="auto"/>
          <w:sz w:val="32"/>
          <w:szCs w:val="32"/>
          <w:highlight w:val="none"/>
        </w:rPr>
        <w:t>项目</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val="en-US" w:eastAsia="zh-CN"/>
        </w:rPr>
        <w:t>申报截止前，相关管理部门已发布结项公告或通知的除外</w:t>
      </w:r>
      <w:r>
        <w:rPr>
          <w:rFonts w:hint="eastAsia" w:ascii="仿宋_GB2312" w:hAnsi="仿宋_GB2312" w:eastAsia="仿宋_GB2312" w:cs="仿宋_GB2312"/>
          <w:snapToGrid w:val="0"/>
          <w:color w:val="auto"/>
          <w:kern w:val="0"/>
          <w:sz w:val="32"/>
          <w:szCs w:val="32"/>
        </w:rPr>
        <w:t>）</w:t>
      </w:r>
      <w:r>
        <w:rPr>
          <w:rFonts w:hint="eastAsia" w:ascii="仿宋_GB2312" w:hAnsi="仿宋" w:eastAsia="仿宋_GB2312" w:cs="仿宋"/>
          <w:color w:val="auto"/>
          <w:sz w:val="32"/>
          <w:szCs w:val="32"/>
          <w:highlight w:val="none"/>
        </w:rPr>
        <w:t>；在研国家社科基金项目、</w:t>
      </w:r>
      <w:r>
        <w:rPr>
          <w:rFonts w:hint="eastAsia" w:ascii="仿宋_GB2312" w:hAnsi="仿宋" w:eastAsia="仿宋_GB2312" w:cs="仿宋"/>
          <w:color w:val="auto"/>
          <w:sz w:val="32"/>
          <w:szCs w:val="32"/>
          <w:highlight w:val="none"/>
          <w:lang w:eastAsia="zh-CN"/>
        </w:rPr>
        <w:t>教育部项目、</w:t>
      </w:r>
      <w:r>
        <w:rPr>
          <w:rFonts w:hint="eastAsia" w:ascii="仿宋_GB2312" w:hAnsi="仿宋" w:eastAsia="仿宋_GB2312" w:cs="仿宋"/>
          <w:color w:val="auto"/>
          <w:sz w:val="32"/>
          <w:szCs w:val="32"/>
          <w:highlight w:val="none"/>
        </w:rPr>
        <w:t>省</w:t>
      </w:r>
      <w:r>
        <w:rPr>
          <w:rFonts w:hint="eastAsia" w:ascii="仿宋_GB2312" w:hAnsi="仿宋" w:eastAsia="仿宋_GB2312" w:cs="仿宋"/>
          <w:color w:val="auto"/>
          <w:sz w:val="32"/>
          <w:szCs w:val="32"/>
          <w:highlight w:val="none"/>
          <w:lang w:eastAsia="zh-CN"/>
        </w:rPr>
        <w:t>习近平新时代中国特色社会主义</w:t>
      </w:r>
      <w:r>
        <w:rPr>
          <w:rFonts w:hint="eastAsia" w:ascii="仿宋_GB2312" w:hAnsi="仿宋" w:eastAsia="仿宋_GB2312" w:cs="仿宋"/>
          <w:color w:val="auto"/>
          <w:sz w:val="32"/>
          <w:szCs w:val="32"/>
          <w:highlight w:val="none"/>
        </w:rPr>
        <w:t>研究中心</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省社科</w:t>
      </w:r>
      <w:r>
        <w:rPr>
          <w:rFonts w:hint="eastAsia" w:ascii="仿宋_GB2312" w:hAnsi="仿宋" w:eastAsia="仿宋_GB2312" w:cs="仿宋"/>
          <w:color w:val="auto"/>
          <w:sz w:val="32"/>
          <w:szCs w:val="32"/>
          <w:highlight w:val="none"/>
          <w:lang w:eastAsia="zh-CN"/>
        </w:rPr>
        <w:t>基金</w:t>
      </w:r>
      <w:r>
        <w:rPr>
          <w:rFonts w:hint="eastAsia" w:ascii="仿宋_GB2312" w:hAnsi="仿宋" w:eastAsia="仿宋_GB2312" w:cs="仿宋"/>
          <w:color w:val="auto"/>
          <w:sz w:val="32"/>
          <w:szCs w:val="32"/>
          <w:highlight w:val="none"/>
        </w:rPr>
        <w:t>项目被清理撤项的（</w:t>
      </w:r>
      <w:r>
        <w:rPr>
          <w:rFonts w:hint="eastAsia" w:ascii="仿宋_GB2312" w:hAnsi="仿宋_GB2312" w:eastAsia="仿宋_GB2312" w:cs="仿宋_GB2312"/>
          <w:snapToGrid w:val="0"/>
          <w:color w:val="auto"/>
          <w:kern w:val="0"/>
          <w:sz w:val="32"/>
          <w:szCs w:val="32"/>
        </w:rPr>
        <w:t>自终止之</w:t>
      </w:r>
      <w:r>
        <w:rPr>
          <w:rFonts w:hint="eastAsia" w:ascii="仿宋_GB2312" w:hAnsi="仿宋_GB2312" w:eastAsia="仿宋_GB2312" w:cs="仿宋_GB2312"/>
          <w:snapToGrid w:val="0"/>
          <w:color w:val="auto"/>
          <w:kern w:val="0"/>
          <w:sz w:val="32"/>
          <w:szCs w:val="32"/>
          <w:lang w:val="en-US" w:eastAsia="zh-CN"/>
        </w:rPr>
        <w:t>日起</w:t>
      </w:r>
      <w:r>
        <w:rPr>
          <w:rFonts w:hint="eastAsia" w:ascii="仿宋_GB2312" w:hAnsi="仿宋_GB2312" w:eastAsia="仿宋_GB2312" w:cs="仿宋_GB2312"/>
          <w:snapToGrid w:val="0"/>
          <w:color w:val="auto"/>
          <w:kern w:val="0"/>
          <w:sz w:val="32"/>
          <w:szCs w:val="32"/>
        </w:rPr>
        <w:t>三年内、撤项之日起五年内</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不得申报</w:t>
      </w:r>
      <w:r>
        <w:rPr>
          <w:rFonts w:hint="eastAsia" w:ascii="仿宋_GB2312" w:hAnsi="仿宋" w:eastAsia="仿宋_GB2312" w:cs="仿宋"/>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六、研究时限和成果要求</w:t>
      </w:r>
    </w:p>
    <w:p>
      <w:pPr>
        <w:keepNext w:val="0"/>
        <w:keepLines w:val="0"/>
        <w:pageBreakBefore w:val="0"/>
        <w:widowControl w:val="0"/>
        <w:kinsoku/>
        <w:wordWrap/>
        <w:overflowPunct/>
        <w:topLinePunct w:val="0"/>
        <w:autoSpaceDE/>
        <w:autoSpaceDN/>
        <w:bidi w:val="0"/>
        <w:spacing w:line="580" w:lineRule="exact"/>
        <w:ind w:left="0" w:leftChars="0" w:firstLine="608"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阶段性成果</w:t>
      </w:r>
    </w:p>
    <w:p>
      <w:pPr>
        <w:keepNext w:val="0"/>
        <w:keepLines w:val="0"/>
        <w:pageBreakBefore w:val="0"/>
        <w:widowControl w:val="0"/>
        <w:kinsoku/>
        <w:wordWrap/>
        <w:overflowPunct/>
        <w:topLinePunct w:val="0"/>
        <w:autoSpaceDE/>
        <w:autoSpaceDN/>
        <w:bidi w:val="0"/>
        <w:spacing w:line="580" w:lineRule="exact"/>
        <w:ind w:left="0" w:leftChars="0" w:firstLine="608" w:firstLineChars="200"/>
        <w:jc w:val="both"/>
        <w:textAlignment w:val="auto"/>
        <w:outlineLvl w:val="9"/>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在权威期刊发表1篇（含）以上与项目研究内容相关的学术论文；与项目研究内容相关的学术论文被《新华文摘》（含网络版期刊）《中国社会科学文摘》《高等学校文科学术文摘》全文转摘的；在中央“三报一刊”上发表1篇（含）以上与项目研究内容相关的理论文章的；项目研究提出的理论观点、政策建议得到在职省部级（含）以上党委政府领导肯定性批示并被有关部门采纳的。</w:t>
      </w:r>
    </w:p>
    <w:p>
      <w:pPr>
        <w:keepNext w:val="0"/>
        <w:keepLines w:val="0"/>
        <w:pageBreakBefore w:val="0"/>
        <w:widowControl w:val="0"/>
        <w:kinsoku/>
        <w:wordWrap/>
        <w:overflowPunct/>
        <w:topLinePunct w:val="0"/>
        <w:autoSpaceDE/>
        <w:autoSpaceDN/>
        <w:bidi w:val="0"/>
        <w:spacing w:line="580" w:lineRule="exact"/>
        <w:ind w:left="0" w:leftChars="0" w:firstLine="608"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最终成果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rPr>
        <w:t>基础研究</w:t>
      </w:r>
      <w:r>
        <w:rPr>
          <w:rFonts w:hint="eastAsia" w:ascii="仿宋_GB2312" w:hAnsi="宋体" w:eastAsia="仿宋_GB2312" w:cs="宋体"/>
          <w:color w:val="auto"/>
          <w:sz w:val="32"/>
          <w:szCs w:val="32"/>
          <w:highlight w:val="none"/>
          <w:lang w:val="en-US" w:eastAsia="zh-CN"/>
        </w:rPr>
        <w:t>期限</w:t>
      </w:r>
      <w:r>
        <w:rPr>
          <w:rFonts w:hint="eastAsia" w:ascii="仿宋_GB2312" w:hAnsi="宋体" w:eastAsia="仿宋_GB2312" w:cs="宋体"/>
          <w:color w:val="auto"/>
          <w:sz w:val="32"/>
          <w:szCs w:val="32"/>
          <w:highlight w:val="none"/>
        </w:rPr>
        <w:t>为</w:t>
      </w:r>
      <w:r>
        <w:rPr>
          <w:rFonts w:hint="eastAsia" w:ascii="仿宋_GB2312" w:hAnsi="宋体" w:eastAsia="仿宋_GB2312" w:cs="宋体"/>
          <w:color w:val="auto"/>
          <w:sz w:val="32"/>
          <w:szCs w:val="32"/>
          <w:highlight w:val="none"/>
          <w:lang w:val="en-US" w:eastAsia="zh-CN"/>
        </w:rPr>
        <w:t>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，最终成果形式为专著的，结项需提供一部不少于10万字书稿的最终成果（与项目研究内容一致），</w:t>
      </w:r>
      <w:r>
        <w:rPr>
          <w:rFonts w:hint="eastAsia" w:ascii="仿宋_GB2312" w:hAnsi="仿宋_GB2312" w:eastAsia="仿宋_GB2312" w:cs="仿宋_GB2312"/>
          <w:color w:val="auto"/>
          <w:sz w:val="32"/>
          <w:szCs w:val="32"/>
          <w:highlight w:val="none"/>
        </w:rPr>
        <w:t>专著须鉴定通过后方能出版，违反规定擅自出版者视为自行终止相关资助协议。</w:t>
      </w:r>
      <w:r>
        <w:rPr>
          <w:rFonts w:hint="eastAsia" w:ascii="仿宋_GB2312" w:hAnsi="仿宋_GB2312" w:eastAsia="仿宋_GB2312" w:cs="仿宋_GB2312"/>
          <w:color w:val="auto"/>
          <w:sz w:val="32"/>
          <w:szCs w:val="32"/>
          <w:highlight w:val="none"/>
          <w:lang w:eastAsia="zh-CN"/>
        </w:rPr>
        <w:t>最终成果</w:t>
      </w:r>
      <w:r>
        <w:rPr>
          <w:rFonts w:hint="eastAsia" w:ascii="仿宋_GB2312" w:hAnsi="仿宋_GB2312" w:eastAsia="仿宋_GB2312" w:cs="仿宋_GB2312"/>
          <w:color w:val="auto"/>
          <w:sz w:val="32"/>
          <w:szCs w:val="32"/>
          <w:highlight w:val="none"/>
          <w:lang w:val="en-US" w:eastAsia="zh-CN"/>
        </w:rPr>
        <w:t>形式</w:t>
      </w:r>
      <w:r>
        <w:rPr>
          <w:rFonts w:hint="eastAsia" w:ascii="仿宋_GB2312" w:hAnsi="仿宋_GB2312" w:eastAsia="仿宋_GB2312" w:cs="仿宋_GB2312"/>
          <w:color w:val="auto"/>
          <w:sz w:val="32"/>
          <w:szCs w:val="32"/>
          <w:highlight w:val="none"/>
          <w:lang w:eastAsia="zh-CN"/>
        </w:rPr>
        <w:t>为论文集的，</w:t>
      </w:r>
      <w:r>
        <w:rPr>
          <w:rFonts w:hint="eastAsia" w:ascii="仿宋_GB2312" w:hAnsi="宋体" w:eastAsia="仿宋_GB2312" w:cs="宋体"/>
          <w:color w:val="auto"/>
          <w:sz w:val="32"/>
          <w:szCs w:val="32"/>
          <w:highlight w:val="none"/>
        </w:rPr>
        <w:t>负责人及</w:t>
      </w:r>
      <w:r>
        <w:rPr>
          <w:rFonts w:hint="eastAsia" w:ascii="仿宋_GB2312" w:hAnsi="宋体" w:eastAsia="仿宋_GB2312" w:cs="宋体"/>
          <w:color w:val="auto"/>
          <w:sz w:val="32"/>
          <w:szCs w:val="32"/>
          <w:highlight w:val="none"/>
          <w:lang w:val="en-US" w:eastAsia="zh-CN"/>
        </w:rPr>
        <w:t>项目</w:t>
      </w:r>
      <w:r>
        <w:rPr>
          <w:rFonts w:hint="eastAsia" w:ascii="仿宋_GB2312" w:hAnsi="宋体" w:eastAsia="仿宋_GB2312" w:cs="宋体"/>
          <w:color w:val="auto"/>
          <w:sz w:val="32"/>
          <w:szCs w:val="32"/>
          <w:highlight w:val="none"/>
        </w:rPr>
        <w:t>组成员至少要在本科高等院校学报以上学术期刊公开发表5篇（含）以上与项目研究内容相关的学术论文，其中在CSSCI来源期刊（不含扩展版）、北大中文核心期刊上发表不少于2篇</w:t>
      </w:r>
      <w:r>
        <w:rPr>
          <w:rFonts w:hint="eastAsia" w:ascii="仿宋_GB2312" w:hAnsi="宋体" w:eastAsia="仿宋_GB2312"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rPr>
        <w:t>应用研究</w:t>
      </w:r>
      <w:r>
        <w:rPr>
          <w:rFonts w:hint="eastAsia" w:ascii="仿宋_GB2312" w:hAnsi="宋体" w:eastAsia="仿宋_GB2312" w:cs="宋体"/>
          <w:color w:val="auto"/>
          <w:sz w:val="32"/>
          <w:szCs w:val="32"/>
          <w:highlight w:val="none"/>
          <w:lang w:val="en-US" w:eastAsia="zh-CN"/>
        </w:rPr>
        <w:t>期限</w:t>
      </w:r>
      <w:r>
        <w:rPr>
          <w:rFonts w:hint="eastAsia" w:ascii="仿宋_GB2312" w:hAnsi="宋体" w:eastAsia="仿宋_GB2312" w:cs="宋体"/>
          <w:color w:val="auto"/>
          <w:sz w:val="32"/>
          <w:szCs w:val="32"/>
          <w:highlight w:val="none"/>
        </w:rPr>
        <w:t>为</w:t>
      </w:r>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，最终成果形式为研究报告的，结项需提供一份不少于2.5万字的研究报告（与项目研究内容一致），</w:t>
      </w:r>
      <w:r>
        <w:rPr>
          <w:rFonts w:hint="eastAsia" w:ascii="仿宋_GB2312" w:hAnsi="宋体" w:eastAsia="仿宋_GB2312" w:cs="宋体"/>
          <w:color w:val="auto"/>
          <w:sz w:val="32"/>
          <w:szCs w:val="32"/>
          <w:highlight w:val="none"/>
        </w:rPr>
        <w:t>理论观点、政策建议原则上要获得省直机关有关单位负责人、设区市党委政府在职领导的肯定性批示或被省直机关有关单位、设区市党委政府采纳吸收才能结项。相关证明材料须加盖采纳单位公章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申报材料要求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申请人必须如实填写申报材料，并保证没有知识产权争议。凡在项目申请中弄虚作假者，一经发现并查实后，即取消项目</w:t>
      </w:r>
      <w:r>
        <w:rPr>
          <w:rFonts w:hint="eastAsia" w:ascii="仿宋_GB2312" w:hAnsi="宋体" w:eastAsia="仿宋_GB2312" w:cs="宋体"/>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三年的申报资格，已获准立项的一律按撤项处理。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审核要求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val="en-US" w:eastAsia="zh-CN"/>
        </w:rPr>
        <w:t>各有关高校的科研管理部门作为二级单位受理本校的项目申报，</w:t>
      </w:r>
      <w:r>
        <w:rPr>
          <w:rFonts w:hint="eastAsia" w:ascii="仿宋_GB2312" w:hAnsi="仿宋_GB2312" w:eastAsia="仿宋_GB2312" w:cs="仿宋_GB2312"/>
          <w:color w:val="auto"/>
          <w:sz w:val="32"/>
          <w:szCs w:val="32"/>
          <w:highlight w:val="none"/>
        </w:rPr>
        <w:t>要加强对项目申报工作的组织和指导，保证申报质量，对申请书、活页所有栏目填写的内容，特别是对</w:t>
      </w:r>
      <w:r>
        <w:rPr>
          <w:rFonts w:hint="eastAsia" w:ascii="仿宋_GB2312" w:hAnsi="宋体" w:eastAsia="仿宋_GB2312" w:cs="宋体"/>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资格、选题、课题设计的科学性和可行性，</w:t>
      </w:r>
      <w:r>
        <w:rPr>
          <w:rFonts w:hint="eastAsia" w:ascii="仿宋_GB2312" w:hAnsi="宋体" w:eastAsia="仿宋_GB2312" w:cs="宋体"/>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组是否具有完成研究任务的充分条件，进行认真审核，并签署明确意见。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九、</w:t>
      </w:r>
      <w:r>
        <w:rPr>
          <w:rFonts w:hint="eastAsia" w:ascii="黑体" w:hAnsi="黑体" w:eastAsia="黑体" w:cs="黑体"/>
          <w:color w:val="auto"/>
          <w:sz w:val="32"/>
          <w:szCs w:val="32"/>
          <w:highlight w:val="none"/>
          <w:lang w:val="en-US" w:eastAsia="zh-CN"/>
        </w:rPr>
        <w:t>申报时间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福建省社会科学</w:t>
      </w:r>
      <w:r>
        <w:rPr>
          <w:rFonts w:hint="eastAsia" w:ascii="仿宋_GB2312" w:hAnsi="仿宋_GB2312" w:eastAsia="仿宋_GB2312" w:cs="仿宋_GB2312"/>
          <w:color w:val="auto"/>
          <w:sz w:val="32"/>
          <w:szCs w:val="32"/>
          <w:highlight w:val="none"/>
          <w:lang w:val="en-US" w:eastAsia="zh-CN"/>
        </w:rPr>
        <w:t>基金</w:t>
      </w:r>
      <w:r>
        <w:rPr>
          <w:rFonts w:hint="eastAsia" w:ascii="仿宋_GB2312" w:hAnsi="仿宋_GB2312" w:eastAsia="仿宋_GB2312" w:cs="仿宋_GB2312"/>
          <w:color w:val="auto"/>
          <w:sz w:val="32"/>
          <w:szCs w:val="32"/>
          <w:highlight w:val="none"/>
        </w:rPr>
        <w:t>项目管理系统(以下简称：系统，网址：http://220.160.53.10:8010/)将于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18:00</w:t>
      </w:r>
      <w:r>
        <w:rPr>
          <w:rFonts w:hint="eastAsia" w:ascii="仿宋_GB2312" w:hAnsi="仿宋_GB2312" w:eastAsia="仿宋_GB2312" w:cs="仿宋_GB2312"/>
          <w:color w:val="auto"/>
          <w:sz w:val="32"/>
          <w:szCs w:val="32"/>
          <w:highlight w:val="none"/>
        </w:rPr>
        <w:t>开放,在此期间申请人可登陆系统, 实名注册申请，提交责任单位审核通过后，即可再登录系统，按规定要求填写申报信息，并从系统上自行下载《申请书》和《论证活页》，及时上网填写，逾期系统自动关闭，不再受理申报。</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08"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十、报送材料</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08"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各委托受理单位报送省社科规划办的材料包括：</w:t>
      </w:r>
    </w:p>
    <w:p>
      <w:pPr>
        <w:pStyle w:val="4"/>
        <w:adjustRightInd w:val="0"/>
        <w:snapToGrid w:val="0"/>
        <w:spacing w:after="0" w:line="348" w:lineRule="auto"/>
        <w:ind w:firstLine="696" w:firstLineChars="245"/>
        <w:rPr>
          <w:rFonts w:ascii="仿宋_GB2312" w:hAnsi="仿宋_GB2312" w:eastAsia="仿宋_GB2312" w:cs="仿宋_GB2312"/>
          <w:b/>
          <w:snapToGrid w:val="0"/>
          <w:color w:val="auto"/>
          <w:spacing w:val="-10"/>
          <w:kern w:val="0"/>
          <w:sz w:val="32"/>
          <w:szCs w:val="32"/>
        </w:rPr>
      </w:pPr>
      <w:r>
        <w:rPr>
          <w:rFonts w:hint="eastAsia" w:ascii="仿宋_GB2312" w:hAnsi="仿宋_GB2312" w:eastAsia="仿宋_GB2312" w:cs="仿宋_GB2312"/>
          <w:b/>
          <w:snapToGrid w:val="0"/>
          <w:color w:val="auto"/>
          <w:spacing w:val="-10"/>
          <w:kern w:val="0"/>
          <w:sz w:val="32"/>
          <w:szCs w:val="32"/>
        </w:rPr>
        <w:t>1.纸质材料</w:t>
      </w:r>
    </w:p>
    <w:p>
      <w:pPr>
        <w:pStyle w:val="4"/>
        <w:adjustRightInd w:val="0"/>
        <w:snapToGrid w:val="0"/>
        <w:spacing w:after="0" w:line="348" w:lineRule="auto"/>
        <w:ind w:firstLine="608" w:firstLineChars="200"/>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（1）《申请书》1份。《申请书》须用计算机填写、统一用A3纸双面印制、中缝装订，并加盖所在单位科研管理部门公章和单位公章；</w:t>
      </w:r>
    </w:p>
    <w:p>
      <w:pPr>
        <w:pStyle w:val="4"/>
        <w:adjustRightInd w:val="0"/>
        <w:snapToGrid w:val="0"/>
        <w:spacing w:after="0" w:line="348" w:lineRule="auto"/>
        <w:ind w:firstLine="602" w:firstLineChars="198"/>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（2）《论证活页》1份。《论证活页》须用计算机填写，基础研究《论证活页》限用两张A3纸双面印制、中缝装订；应用研究《论证活页》限用一张A3纸双面印制、中缝对折；</w:t>
      </w:r>
    </w:p>
    <w:p>
      <w:pPr>
        <w:pStyle w:val="4"/>
        <w:adjustRightInd w:val="0"/>
        <w:snapToGrid w:val="0"/>
        <w:spacing w:after="0" w:line="348" w:lineRule="auto"/>
        <w:ind w:firstLine="602" w:firstLineChars="198"/>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SA"/>
        </w:rPr>
        <w:t>（3）系统导出的汇总表1份。汇总表需加盖所在单位科研管理部门公章。</w:t>
      </w:r>
    </w:p>
    <w:p>
      <w:pPr>
        <w:pStyle w:val="4"/>
        <w:adjustRightInd w:val="0"/>
        <w:snapToGrid w:val="0"/>
        <w:spacing w:after="0" w:line="348" w:lineRule="auto"/>
        <w:ind w:firstLine="568" w:firstLineChars="200"/>
        <w:rPr>
          <w:rFonts w:ascii="仿宋_GB2312" w:hAnsi="仿宋_GB2312" w:eastAsia="仿宋_GB2312" w:cs="仿宋_GB2312"/>
          <w:b/>
          <w:snapToGrid w:val="0"/>
          <w:color w:val="auto"/>
          <w:spacing w:val="-10"/>
          <w:kern w:val="0"/>
          <w:sz w:val="32"/>
          <w:szCs w:val="32"/>
        </w:rPr>
      </w:pPr>
      <w:r>
        <w:rPr>
          <w:rFonts w:hint="eastAsia" w:ascii="仿宋_GB2312" w:hAnsi="仿宋_GB2312" w:eastAsia="仿宋_GB2312" w:cs="仿宋_GB2312"/>
          <w:b/>
          <w:snapToGrid w:val="0"/>
          <w:color w:val="auto"/>
          <w:spacing w:val="-10"/>
          <w:kern w:val="0"/>
          <w:sz w:val="32"/>
          <w:szCs w:val="32"/>
        </w:rPr>
        <w:t>2.电子材料</w:t>
      </w:r>
    </w:p>
    <w:p>
      <w:pPr>
        <w:pStyle w:val="4"/>
        <w:adjustRightInd w:val="0"/>
        <w:snapToGrid w:val="0"/>
        <w:spacing w:after="0" w:line="348" w:lineRule="auto"/>
        <w:ind w:firstLine="608" w:firstLineChars="200"/>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（1）以申请人姓名命名的文件夹（内容包括：《申请书》《论证活页》），文件夹内容必须是word格式；</w:t>
      </w:r>
    </w:p>
    <w:p>
      <w:pPr>
        <w:pStyle w:val="4"/>
        <w:adjustRightInd w:val="0"/>
        <w:snapToGrid w:val="0"/>
        <w:spacing w:after="0" w:line="348" w:lineRule="auto"/>
        <w:ind w:firstLine="608" w:firstLineChars="200"/>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（2）</w:t>
      </w:r>
      <w:r>
        <w:rPr>
          <w:rFonts w:hint="eastAsia" w:ascii="仿宋_GB2312" w:hAnsi="仿宋_GB2312" w:eastAsia="仿宋_GB2312" w:cs="仿宋_GB2312"/>
          <w:snapToGrid w:val="0"/>
          <w:color w:val="auto"/>
          <w:kern w:val="0"/>
          <w:sz w:val="32"/>
          <w:szCs w:val="32"/>
          <w:lang w:val="en-US" w:eastAsia="zh-CN" w:bidi="ar-SA"/>
        </w:rPr>
        <w:fldChar w:fldCharType="begin"/>
      </w:r>
      <w:r>
        <w:rPr>
          <w:rFonts w:hint="eastAsia" w:ascii="仿宋_GB2312" w:hAnsi="仿宋_GB2312" w:eastAsia="仿宋_GB2312" w:cs="仿宋_GB2312"/>
          <w:snapToGrid w:val="0"/>
          <w:color w:val="auto"/>
          <w:kern w:val="0"/>
          <w:sz w:val="32"/>
          <w:szCs w:val="32"/>
          <w:lang w:val="en-US" w:eastAsia="zh-CN" w:bidi="ar-SA"/>
        </w:rPr>
        <w:instrText xml:space="preserve"> HYPERLINK "mailto:电子材料要以申报单位命名压缩打包后发送至fjghb2013@163.com"</w:instrText>
      </w:r>
      <w:r>
        <w:rPr>
          <w:rFonts w:hint="eastAsia" w:ascii="仿宋_GB2312" w:hAnsi="仿宋_GB2312" w:eastAsia="仿宋_GB2312" w:cs="仿宋_GB2312"/>
          <w:snapToGrid w:val="0"/>
          <w:color w:val="auto"/>
          <w:kern w:val="0"/>
          <w:sz w:val="32"/>
          <w:szCs w:val="32"/>
          <w:lang w:val="en-US" w:eastAsia="zh-CN" w:bidi="ar-SA"/>
        </w:rPr>
        <w:fldChar w:fldCharType="separate"/>
      </w:r>
      <w:r>
        <w:rPr>
          <w:rFonts w:hint="eastAsia" w:ascii="仿宋_GB2312" w:hAnsi="仿宋_GB2312" w:eastAsia="仿宋_GB2312" w:cs="仿宋_GB2312"/>
          <w:snapToGrid w:val="0"/>
          <w:color w:val="auto"/>
          <w:kern w:val="0"/>
          <w:sz w:val="32"/>
          <w:szCs w:val="32"/>
          <w:lang w:val="en-US" w:eastAsia="zh-CN" w:bidi="ar-SA"/>
        </w:rPr>
        <w:t>电子材料要以申报单位命名压缩打包后发送至fjghb2013@163.com</w:t>
      </w:r>
      <w:r>
        <w:rPr>
          <w:rFonts w:hint="eastAsia" w:ascii="仿宋_GB2312" w:hAnsi="仿宋_GB2312" w:eastAsia="仿宋_GB2312" w:cs="仿宋_GB2312"/>
          <w:snapToGrid w:val="0"/>
          <w:color w:val="auto"/>
          <w:kern w:val="0"/>
          <w:sz w:val="32"/>
          <w:szCs w:val="32"/>
          <w:lang w:val="en-US" w:eastAsia="zh-CN" w:bidi="ar-SA"/>
        </w:rPr>
        <w:fldChar w:fldCharType="end"/>
      </w:r>
      <w:r>
        <w:rPr>
          <w:rFonts w:hint="eastAsia" w:ascii="仿宋_GB2312" w:hAnsi="仿宋_GB2312" w:eastAsia="仿宋_GB2312" w:cs="仿宋_GB2312"/>
          <w:snapToGrid w:val="0"/>
          <w:color w:val="auto"/>
          <w:kern w:val="0"/>
          <w:sz w:val="32"/>
          <w:szCs w:val="32"/>
          <w:lang w:val="en-US" w:eastAsia="zh-CN" w:bidi="ar-SA"/>
        </w:rPr>
        <w:t>。</w:t>
      </w:r>
    </w:p>
    <w:p>
      <w:pPr>
        <w:pStyle w:val="4"/>
        <w:adjustRightInd w:val="0"/>
        <w:snapToGrid w:val="0"/>
        <w:spacing w:after="0" w:line="348" w:lineRule="auto"/>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lang w:val="en-US" w:eastAsia="zh-CN" w:bidi="ar-SA"/>
        </w:rPr>
        <w:t>纸质材料和电子材料8月28日前报省社科规划办，联系人：程冰，联系电话：0591-83707561，联系地址：福州市鼓楼区柳兴路83号，邮政编码：350025。</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课题指南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8"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中共福建省委宣传部          中共福建省委教育工委</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604"/>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604"/>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福建省社会科学界联合会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604"/>
        <w:jc w:val="center"/>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311"/>
        <w:jc w:val="center"/>
        <w:textAlignment w:val="auto"/>
        <w:outlineLvl w:val="9"/>
        <w:rPr>
          <w:rFonts w:hint="eastAsia" w:ascii="仿宋_GB2312" w:hAnsi="仿宋_GB2312" w:eastAsia="仿宋_GB2312" w:cs="仿宋_GB2312"/>
          <w:color w:val="auto"/>
          <w:sz w:val="32"/>
          <w:szCs w:val="32"/>
          <w:highlight w:val="none"/>
        </w:rPr>
        <w:sectPr>
          <w:headerReference r:id="rId3" w:type="default"/>
          <w:footerReference r:id="rId4" w:type="default"/>
          <w:footerReference r:id="rId5" w:type="even"/>
          <w:pgSz w:w="11906" w:h="16838"/>
          <w:pgMar w:top="2041" w:right="1474" w:bottom="1701" w:left="1587" w:header="851" w:footer="992" w:gutter="0"/>
          <w:pgNumType w:fmt="numberInDash"/>
          <w:cols w:space="720" w:num="1"/>
          <w:docGrid w:type="linesAndChars" w:linePitch="290" w:charSpace="-3420"/>
        </w:sect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bookmarkStart w:id="0" w:name="_GoBack"/>
      <w:bookmarkEnd w:id="0"/>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课题指南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重大项目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伟大建党精神形成的理论渊源、实践基础、文化底蕴研究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伟大建党精神与中国共产党</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精神谱系关系研究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推进伟大建党精神进教材、进课程、进学生头脑研究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弘扬</w:t>
      </w:r>
      <w:r>
        <w:rPr>
          <w:rFonts w:hint="eastAsia" w:ascii="仿宋_GB2312" w:hAnsi="仿宋_GB2312" w:eastAsia="仿宋_GB2312" w:cs="仿宋_GB2312"/>
          <w:color w:val="auto"/>
          <w:sz w:val="32"/>
          <w:szCs w:val="32"/>
        </w:rPr>
        <w:t>伟大建党精神研究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党史学习教育常态化长效化研究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right="311"/>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重点项目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习近平法治思想研究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习近平总书记关于中国共产党历史重要论述研究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习近平总书记关于铸牢中华民族共同体意识重要论述研究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习近平</w:t>
      </w:r>
      <w:r>
        <w:rPr>
          <w:rFonts w:hint="eastAsia" w:ascii="仿宋_GB2312" w:hAnsi="仿宋_GB2312" w:eastAsia="仿宋_GB2312" w:cs="仿宋_GB2312"/>
          <w:color w:val="auto"/>
          <w:spacing w:val="-11"/>
          <w:sz w:val="32"/>
          <w:szCs w:val="32"/>
        </w:rPr>
        <w:t>新时代中国特色社会主义思想在福建的孕育与实践研究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马克思主义中国化“两个结合”的内涵及规律研究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“两个确立”</w:t>
      </w:r>
      <w:r>
        <w:rPr>
          <w:rFonts w:hint="eastAsia" w:ascii="仿宋_GB2312" w:hAnsi="仿宋_GB2312" w:eastAsia="仿宋_GB2312" w:cs="仿宋_GB2312"/>
          <w:color w:val="auto"/>
          <w:spacing w:val="-6"/>
          <w:sz w:val="32"/>
          <w:szCs w:val="32"/>
        </w:rPr>
        <w:t>对新时代党和国家事业发展的决定性意义研究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中国共产党百年与世界社会主义研究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当代中国马克思主义的中华文明根基研究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推动福建优秀传统文化创造性转化、创新性发展研究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文明史的研究范式与文明的交流互鉴</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促进数字经济健康发展问题研究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高质量发展与共同富裕关系研究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“一国两制”实践中的国家认同研究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国家治理视角下深化两岸融合发展的路径研究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中国式法治现代化道路研究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推进全过程人民民主的宪法基础研究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数字法治政府建设研究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脱贫攻坚与乡村振兴有效衔接的社会学研究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转型期社会心态变迁研究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新时代党的民族工作历史方位与重要任务研究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加快构建中国话语和中国叙事体系研究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提升重大问题对外发声能力研究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新时代红色文化价值传播研究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中国特色人口发展道路的理论与实践研究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311"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新时代我国宗教工作新理念新举措研究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both"/>
        <w:textAlignment w:val="auto"/>
        <w:outlineLvl w:val="9"/>
        <w:rPr>
          <w:rFonts w:hint="eastAsia" w:ascii="仿宋_GB2312" w:hAnsi="仿宋_GB2312" w:eastAsia="仿宋_GB2312" w:cs="仿宋_GB2312"/>
          <w:color w:val="auto"/>
          <w:sz w:val="32"/>
          <w:szCs w:val="32"/>
          <w:highlight w:val="none"/>
          <w:lang w:val="en-US" w:eastAsia="zh-CN"/>
        </w:rPr>
      </w:pPr>
    </w:p>
    <w:sectPr>
      <w:pgSz w:w="11906" w:h="16838"/>
      <w:pgMar w:top="2041" w:right="1474" w:bottom="1701" w:left="1587" w:header="851" w:footer="992" w:gutter="0"/>
      <w:pgNumType w:fmt="numberInDash"/>
      <w:cols w:space="720"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9"/>
                    <w:rFonts w:hint="eastAsia" w:asciiTheme="minorEastAsia" w:hAnsiTheme="minorEastAsia" w:eastAsiaTheme="minorEastAsia" w:cstheme="minorEastAsia"/>
                    <w:sz w:val="32"/>
                    <w:szCs w:val="32"/>
                  </w:rPr>
                </w:pPr>
                <w:r>
                  <w:rPr>
                    <w:rStyle w:val="9"/>
                    <w:rFonts w:hint="eastAsia" w:asciiTheme="minorEastAsia" w:hAnsiTheme="minorEastAsia" w:eastAsiaTheme="minorEastAsia" w:cstheme="minorEastAsia"/>
                    <w:sz w:val="32"/>
                    <w:szCs w:val="32"/>
                  </w:rPr>
                  <w:fldChar w:fldCharType="begin"/>
                </w:r>
                <w:r>
                  <w:rPr>
                    <w:rStyle w:val="9"/>
                    <w:rFonts w:hint="eastAsia" w:asciiTheme="minorEastAsia" w:hAnsiTheme="minorEastAsia" w:eastAsiaTheme="minorEastAsia" w:cstheme="minorEastAsia"/>
                    <w:sz w:val="32"/>
                    <w:szCs w:val="32"/>
                  </w:rPr>
                  <w:instrText xml:space="preserve">PAGE  </w:instrText>
                </w:r>
                <w:r>
                  <w:rPr>
                    <w:rStyle w:val="9"/>
                    <w:rFonts w:hint="eastAsia" w:asciiTheme="minorEastAsia" w:hAnsiTheme="minorEastAsia" w:eastAsiaTheme="minorEastAsia" w:cstheme="minorEastAsia"/>
                    <w:sz w:val="32"/>
                    <w:szCs w:val="32"/>
                  </w:rPr>
                  <w:fldChar w:fldCharType="separate"/>
                </w:r>
                <w:r>
                  <w:rPr>
                    <w:rStyle w:val="9"/>
                    <w:rFonts w:hint="eastAsia" w:asciiTheme="minorEastAsia" w:hAnsiTheme="minorEastAsia" w:eastAsiaTheme="minorEastAsia" w:cstheme="minorEastAsia"/>
                    <w:sz w:val="32"/>
                    <w:szCs w:val="32"/>
                  </w:rPr>
                  <w:t>1</w:t>
                </w:r>
                <w:r>
                  <w:rPr>
                    <w:rStyle w:val="9"/>
                    <w:rFonts w:hint="eastAsia" w:asciiTheme="minorEastAsia" w:hAnsiTheme="minorEastAsia" w:eastAsiaTheme="minorEastAsia" w:cstheme="minorEastAsia"/>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D80389"/>
    <w:rsid w:val="00002754"/>
    <w:rsid w:val="00002FEC"/>
    <w:rsid w:val="00060E77"/>
    <w:rsid w:val="00097FD4"/>
    <w:rsid w:val="00115933"/>
    <w:rsid w:val="00190FB2"/>
    <w:rsid w:val="001F2BCF"/>
    <w:rsid w:val="00217890"/>
    <w:rsid w:val="00233043"/>
    <w:rsid w:val="00247E65"/>
    <w:rsid w:val="002620F6"/>
    <w:rsid w:val="00275E7D"/>
    <w:rsid w:val="002A725B"/>
    <w:rsid w:val="00343EA6"/>
    <w:rsid w:val="003542E4"/>
    <w:rsid w:val="00372779"/>
    <w:rsid w:val="00391645"/>
    <w:rsid w:val="003B041A"/>
    <w:rsid w:val="00412E74"/>
    <w:rsid w:val="004466E5"/>
    <w:rsid w:val="004C4EE6"/>
    <w:rsid w:val="00540808"/>
    <w:rsid w:val="00552F0D"/>
    <w:rsid w:val="00571063"/>
    <w:rsid w:val="005B0F12"/>
    <w:rsid w:val="005E30B0"/>
    <w:rsid w:val="005E78EE"/>
    <w:rsid w:val="00641463"/>
    <w:rsid w:val="00663286"/>
    <w:rsid w:val="006823C9"/>
    <w:rsid w:val="006A3B19"/>
    <w:rsid w:val="006C0BCE"/>
    <w:rsid w:val="006C4DBB"/>
    <w:rsid w:val="006D754A"/>
    <w:rsid w:val="006E3C4F"/>
    <w:rsid w:val="00710786"/>
    <w:rsid w:val="00713B42"/>
    <w:rsid w:val="00736FDA"/>
    <w:rsid w:val="00752057"/>
    <w:rsid w:val="007C45BC"/>
    <w:rsid w:val="007C60B0"/>
    <w:rsid w:val="007F6ADE"/>
    <w:rsid w:val="00833ACB"/>
    <w:rsid w:val="00847DFA"/>
    <w:rsid w:val="00864540"/>
    <w:rsid w:val="008764FF"/>
    <w:rsid w:val="00892910"/>
    <w:rsid w:val="00893CA1"/>
    <w:rsid w:val="008B39EC"/>
    <w:rsid w:val="008D111C"/>
    <w:rsid w:val="008D190A"/>
    <w:rsid w:val="009127CF"/>
    <w:rsid w:val="009D42DC"/>
    <w:rsid w:val="009F54EE"/>
    <w:rsid w:val="00A64836"/>
    <w:rsid w:val="00AB6B8A"/>
    <w:rsid w:val="00AD2BD1"/>
    <w:rsid w:val="00AD3645"/>
    <w:rsid w:val="00B06C82"/>
    <w:rsid w:val="00B16486"/>
    <w:rsid w:val="00B57B9A"/>
    <w:rsid w:val="00B63C8A"/>
    <w:rsid w:val="00B863C4"/>
    <w:rsid w:val="00BB7489"/>
    <w:rsid w:val="00BE47CC"/>
    <w:rsid w:val="00C05BD5"/>
    <w:rsid w:val="00C10993"/>
    <w:rsid w:val="00C1403C"/>
    <w:rsid w:val="00C32971"/>
    <w:rsid w:val="00CB5B38"/>
    <w:rsid w:val="00CF6860"/>
    <w:rsid w:val="00D21F3A"/>
    <w:rsid w:val="00D22F6D"/>
    <w:rsid w:val="00D401A3"/>
    <w:rsid w:val="00D83B96"/>
    <w:rsid w:val="00DF4A46"/>
    <w:rsid w:val="00E4039B"/>
    <w:rsid w:val="00E743EC"/>
    <w:rsid w:val="00EA4E3D"/>
    <w:rsid w:val="00F1132E"/>
    <w:rsid w:val="00F40F1C"/>
    <w:rsid w:val="00F705B3"/>
    <w:rsid w:val="00FB7614"/>
    <w:rsid w:val="06191FDB"/>
    <w:rsid w:val="07491196"/>
    <w:rsid w:val="07FF01FD"/>
    <w:rsid w:val="0964353C"/>
    <w:rsid w:val="0BD80389"/>
    <w:rsid w:val="12A9574D"/>
    <w:rsid w:val="13261370"/>
    <w:rsid w:val="13293C04"/>
    <w:rsid w:val="13576F68"/>
    <w:rsid w:val="16820D72"/>
    <w:rsid w:val="17C12122"/>
    <w:rsid w:val="1C08420A"/>
    <w:rsid w:val="1FF576FA"/>
    <w:rsid w:val="227E67B5"/>
    <w:rsid w:val="242B205D"/>
    <w:rsid w:val="28254F6C"/>
    <w:rsid w:val="29532914"/>
    <w:rsid w:val="29864DEC"/>
    <w:rsid w:val="29CB570E"/>
    <w:rsid w:val="2AE73025"/>
    <w:rsid w:val="33470466"/>
    <w:rsid w:val="360656FD"/>
    <w:rsid w:val="37BC1ED9"/>
    <w:rsid w:val="3AD70CBF"/>
    <w:rsid w:val="3B0E457A"/>
    <w:rsid w:val="445C7E46"/>
    <w:rsid w:val="44DB1EC2"/>
    <w:rsid w:val="467F7969"/>
    <w:rsid w:val="47B670D6"/>
    <w:rsid w:val="48266A7F"/>
    <w:rsid w:val="49666826"/>
    <w:rsid w:val="4B4B29D3"/>
    <w:rsid w:val="52CB494F"/>
    <w:rsid w:val="54FE66EB"/>
    <w:rsid w:val="55A21FA0"/>
    <w:rsid w:val="56B73E94"/>
    <w:rsid w:val="597A61D1"/>
    <w:rsid w:val="5B101BF3"/>
    <w:rsid w:val="5EDA7577"/>
    <w:rsid w:val="604E5F51"/>
    <w:rsid w:val="639309F9"/>
    <w:rsid w:val="659E1118"/>
    <w:rsid w:val="66DF6AD1"/>
    <w:rsid w:val="6A3C1000"/>
    <w:rsid w:val="74271E11"/>
    <w:rsid w:val="75D03A26"/>
    <w:rsid w:val="761733FB"/>
    <w:rsid w:val="79441B7B"/>
    <w:rsid w:val="7CE96FAA"/>
    <w:rsid w:val="7F4063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link w:val="11"/>
    <w:qFormat/>
    <w:uiPriority w:val="99"/>
    <w:pPr>
      <w:spacing w:after="12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563C1"/>
      <w:u w:val="single"/>
    </w:rPr>
  </w:style>
  <w:style w:type="character" w:customStyle="1" w:styleId="11">
    <w:name w:val="正文文本 Char"/>
    <w:basedOn w:val="8"/>
    <w:link w:val="4"/>
    <w:semiHidden/>
    <w:qFormat/>
    <w:uiPriority w:val="99"/>
    <w:rPr>
      <w:rFonts w:ascii="Calibri" w:hAnsi="Calibri"/>
      <w:szCs w:val="24"/>
    </w:rPr>
  </w:style>
  <w:style w:type="character" w:customStyle="1" w:styleId="12">
    <w:name w:val="页脚 Char"/>
    <w:basedOn w:val="8"/>
    <w:link w:val="5"/>
    <w:semiHidden/>
    <w:qFormat/>
    <w:uiPriority w:val="99"/>
    <w:rPr>
      <w:rFonts w:ascii="Calibri" w:hAnsi="Calibri"/>
      <w:sz w:val="18"/>
      <w:szCs w:val="18"/>
    </w:rPr>
  </w:style>
  <w:style w:type="paragraph" w:customStyle="1" w:styleId="13">
    <w:name w:val="Char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14">
    <w:name w:val="页眉 Char"/>
    <w:basedOn w:val="8"/>
    <w:link w:val="6"/>
    <w:qFormat/>
    <w:locked/>
    <w:uiPriority w:val="99"/>
    <w:rPr>
      <w:rFonts w:ascii="Calibri" w:hAnsi="Calibri" w:eastAsia="宋体" w:cs="Times New Roman"/>
      <w:kern w:val="2"/>
      <w:sz w:val="18"/>
      <w:szCs w:val="18"/>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391</Words>
  <Characters>2235</Characters>
  <Lines>18</Lines>
  <Paragraphs>5</Paragraphs>
  <TotalTime>13</TotalTime>
  <ScaleCrop>false</ScaleCrop>
  <LinksUpToDate>false</LinksUpToDate>
  <CharactersWithSpaces>2621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2017-09-26T08:57:00Z</dcterms:created>
  <dc:creator>Lenovo</dc:creator>
  <cp:lastModifiedBy>LENOVO</cp:lastModifiedBy>
  <cp:lastPrinted>2022-06-13T12:30:00Z</cp:lastPrinted>
  <dcterms:modified xsi:type="dcterms:W3CDTF">2022-07-20T07:22:34Z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0B180938275E4D3DA7581EF6B2C20850</vt:lpwstr>
  </property>
</Properties>
</file>